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b/>
          <w:sz w:val="28"/>
          <w:szCs w:val="28"/>
          <w:lang w:val="uk-UA" w:bidi="hi-IN" w:eastAsia="hi-IN"/>
        </w:rPr>
        <w:t xml:space="preserve">(тридцять шоста сесія сьомого скликання)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 грудня 2019 року </w:t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№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664</w:t>
      </w:r>
      <w:r/>
    </w:p>
    <w:p>
      <w:pPr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4960"/>
        <w:jc w:val="both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</w:t>
      </w:r>
      <w:r>
        <w:rPr>
          <w:rFonts w:ascii="Times New Roman" w:hAnsi="Times New Roman"/>
          <w:b/>
          <w:sz w:val="28"/>
          <w:szCs w:val="28"/>
        </w:rPr>
        <w:t xml:space="preserve"> Програми </w:t>
      </w:r>
      <w:r>
        <w:rPr>
          <w:rFonts w:ascii="Times New Roman" w:hAnsi="Times New Roman"/>
          <w:b/>
          <w:sz w:val="28"/>
          <w:szCs w:val="28"/>
        </w:rPr>
        <w:t xml:space="preserve">відшкодування різниці в тарифах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водовідведення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населення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ОТГ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/>
    </w:p>
    <w:p>
      <w:pPr>
        <w:ind w:right="5102"/>
        <w:jc w:val="both"/>
        <w:spacing w:lineRule="auto" w:line="240" w:after="0" w:afterAutospacing="0" w:before="0" w:beforeAutospacing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184"/>
        <w:spacing w:after="0" w:afterAutospacing="0" w:before="0" w:beforeAutospacing="0"/>
        <w:rPr>
          <w:lang w:val="uk-UA" w:eastAsia="ru-RU"/>
        </w:rPr>
      </w:pPr>
      <w:r>
        <w:rPr>
          <w:szCs w:val="28"/>
          <w:lang w:val="uk-UA"/>
        </w:rPr>
        <w:t xml:space="preserve">Згідно зі ст. 26</w:t>
      </w:r>
      <w:r>
        <w:rPr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Cs w:val="28"/>
        </w:rPr>
        <w:t xml:space="preserve">, </w:t>
      </w:r>
      <w:r>
        <w:rPr>
          <w:lang w:val="uk-UA" w:eastAsia="ru-RU"/>
        </w:rPr>
        <w:t xml:space="preserve">Менська міська рада</w:t>
      </w:r>
      <w:r/>
    </w:p>
    <w:p>
      <w:pPr>
        <w:pStyle w:val="184"/>
        <w:ind w:hanging="0"/>
        <w:spacing w:after="0" w:afterAutospacing="0" w:before="0" w:beforeAutospacing="0"/>
        <w:rPr>
          <w:lang w:val="uk-UA" w:eastAsia="ru-RU"/>
        </w:rPr>
      </w:pPr>
      <w:r>
        <w:rPr>
          <w:lang w:val="uk-UA" w:eastAsia="ru-RU"/>
        </w:rPr>
        <w:t xml:space="preserve">В И Р І Ш И Л А</w:t>
      </w:r>
      <w:r>
        <w:rPr>
          <w:lang w:val="uk-UA" w:eastAsia="ru-RU"/>
        </w:rPr>
        <w:t xml:space="preserve">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Затвердити Програму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відшкодування різниці в тарифах на послуги з це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водовідведення для населення по Менській міській ОТГ на 2020 рік» (далі – Програма) зг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ідно додатку до даного рішення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додається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.</w:t>
      </w:r>
      <w:r/>
    </w:p>
    <w:p>
      <w:pPr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Фінансовому управлінню Менської міської ради під час формування проекту бюджету Менської міської об’єднаної територіальної громади передбачити асигнування на фінансування Програми.</w:t>
      </w:r>
      <w:r/>
    </w:p>
    <w:p>
      <w:pPr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Контроль за виконанням рішення покласти на постійну комісію з питань планування, фінансів, бюджету та соціально-економічного розвитку та постійну комісію з питань житлово-комунального господарства та комунальної власності.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szCs w:val="28"/>
        </w:rPr>
      </w:pPr>
      <w:r/>
      <w:r/>
    </w:p>
    <w:p>
      <w:pPr>
        <w:jc w:val="both"/>
        <w:spacing w:lineRule="auto" w:line="240" w:after="0" w:afterAutospacing="0" w:before="0" w:beforeAutospacing="0"/>
        <w:widowControl w:val="off"/>
        <w:rPr>
          <w:szCs w:val="28"/>
        </w:rPr>
      </w:pPr>
      <w:r/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/>
          <w:b/>
          <w:sz w:val="28"/>
          <w:szCs w:val="28"/>
        </w:rPr>
      </w:pPr>
      <w:r/>
      <w:r/>
    </w:p>
    <w:p>
      <w:pPr>
        <w:spacing w:after="0" w:afterAutospacing="0" w:before="0" w:beforeAutospacing="0"/>
        <w:tabs>
          <w:tab w:val="left" w:pos="637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</w:t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 Примаков</w:t>
      </w:r>
      <w:r/>
      <w:r>
        <w:rPr>
          <w:lang w:val="uk-U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br w:type="page"/>
      </w:r>
      <w:r/>
    </w:p>
    <w:p>
      <w:pPr>
        <w:ind w:left="578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Calibri"/>
          <w:sz w:val="20"/>
          <w:szCs w:val="20"/>
          <w:lang w:val="uk-UA"/>
        </w:rPr>
        <w:t xml:space="preserve">Додаток до рішення 36 сесії Менської міської ради 7 скликання від 26.12.2019 р.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«Про затвердження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Програми відшкодування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різниці в тарифах на послуги з це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водовідведення для населення по Менській міській ОТГ на 2020 рік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»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№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664</w:t>
      </w:r>
      <w:r/>
    </w:p>
    <w:p>
      <w:pPr>
        <w:ind w:left="623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  <w:t xml:space="preserve">ПРОГРАМА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відшкодування різниці в тарифах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на послуги з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для населення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по Менській міській ОТГ на 2020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рік</w:t>
      </w:r>
      <w:r/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  <w:lang w:val="uk-UA" w:eastAsia="ar-SA"/>
        </w:rPr>
        <w:br w:type="page"/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  <w:lang w:val="uk-UA" w:eastAsia="ar-SA"/>
        </w:rPr>
        <w:t xml:space="preserve">Загальна характеристика Програми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10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Менська міська рада</w:t>
            </w:r>
            <w:r/>
          </w:p>
        </w:tc>
      </w:tr>
      <w:tr>
        <w:trPr>
          <w:trHeight w:val="1587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10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Розробник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ради</w:t>
            </w:r>
            <w:r/>
          </w:p>
        </w:tc>
      </w:tr>
      <w:tr>
        <w:trPr>
          <w:trHeight w:val="702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01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Співрозробники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Фінансове управління Менської міської ради</w:t>
            </w:r>
            <w:r/>
          </w:p>
        </w:tc>
      </w:tr>
      <w:tr>
        <w:trPr>
          <w:trHeight w:val="1420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25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28"/>
                <w:szCs w:val="28"/>
                <w:lang w:val="uk-UA" w:eastAsia="ar-SA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ради</w:t>
            </w:r>
            <w:r/>
          </w:p>
        </w:tc>
      </w:tr>
      <w:tr>
        <w:trPr>
          <w:trHeight w:val="1297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25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28"/>
                <w:szCs w:val="28"/>
                <w:lang w:val="uk-UA" w:eastAsia="ar-SA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Учасники 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Підприємства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на території Менської міської ОТГ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  <w:r/>
          </w:p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Менська міська рада</w:t>
            </w:r>
            <w:r/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30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sz w:val="28"/>
                <w:szCs w:val="28"/>
                <w:lang w:val="uk-UA" w:eastAsia="ar-SA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Терміни реалізації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рік</w:t>
            </w:r>
            <w:r/>
          </w:p>
        </w:tc>
      </w:tr>
      <w:tr>
        <w:trPr>
          <w:trHeight w:val="1049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8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0" w:firstLine="1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місцевих бюджетів, які приймають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Бюджет Менської міської ОТГ</w:t>
            </w:r>
            <w:r/>
          </w:p>
        </w:tc>
      </w:tr>
      <w:tr>
        <w:trPr>
          <w:trHeight w:val="1065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обсяг  фінансових  ресурсів,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необхідних для реалізації</w:t>
            </w:r>
            <w:r/>
          </w:p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Програми, тис.грн.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,0</w:t>
            </w:r>
            <w:r/>
          </w:p>
        </w:tc>
      </w:tr>
      <w:tr>
        <w:trPr>
          <w:trHeight w:val="712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9.1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В тому числі бюджетних коштів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тис.грн.</w:t>
            </w:r>
            <w:r/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,0</w:t>
            </w:r>
            <w:r/>
          </w:p>
        </w:tc>
      </w:tr>
      <w:tr>
        <w:trPr>
          <w:trHeight w:val="697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них коштів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тис.грн.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,0</w:t>
            </w:r>
            <w:r/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91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Основні джерела фінансування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Місцевий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бюджет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br w:type="page"/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1.2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Визначення проблеми, на розв’язання якої спрямовані заходи Програми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сьогоднішній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день послуги з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 по місту Мена Чернігівської області надає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ТОВ «Менський комунальник»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Підприємство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створено 07.04.2011 року.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Основними видами діяльності є надання житлово-комунальних послу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 з водопостачання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водовідведення.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Власником споруд водопостачання та водовідведення є Менська міська рада.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з водопостачання надаються населенню та іншим спо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живачам, використовуючи дев’ять артезіанських свердловин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по водовідв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еденню – при використанні двох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каналізаційно – насосних станцій та очисних споруд.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Очистку стоків проводить філія «Менський сир» ППКФ «Прометей».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з водопостачання та водовідведення для жителів смт. 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місцевого само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врядування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 міська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рада) встановлює тарифи на житлово-комунальні послуги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цін/тарифів та економічно обґрунтованими витратами на виробництво цих послуг. 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№869 “Про забезпечення єдиного підходу до формування тарифів на житлово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ті, в тому числі по заробітній платі, податках, єдиному соціальному внеску, оплаті за енергоносії. Виробник послуг не в змозі проводити поточні ремонти мереж через відсутність коштів.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сьогоднішній день відсутність  відшкодовування витрат  комунальних  підприємств в розмірі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лово-комунальними послугами належної якості і може призвести до: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припинення або суттєвого обмеження надання цих послуг;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збільшення заборгованості за спожиту електроенергію і інші товаро-матеріальні цінності;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виникнення  заборгованості із заробітної плати;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Дана ситуація має сферу негативного впливу на державу, в особі органів місцевого самовря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дування,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послуг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водопостачання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споживачів послуг.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Таким чином, виділення коштів на відшкодування різниці в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ОТГ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 фінан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сової діяльності підприємств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 період встановлення тарифів в розмірі меншим ніж економічно обґрунтований та в період між встановленням нових тарифів.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Видатки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відшкодування втрат підприємствам - виробникам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що пов’язані із дією  цін/тарифів на житлово-комунальні послуги, нижчих від розміру економічно обґрунтованих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итрат на їх виробництво, міська рада передбачає 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бюджеті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Менської міської ОТГ згідно з над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аними підприємствами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очікуваними розрахунками, що 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годжуються на сесії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органів місцевого самоврядування на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ґрунтованих витрат на їх виробництво (надання).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озміру, зобов’язані відшкодувати суб’єктам господарювання різницю між такими розмірами за рахунок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відповідних бюджетів.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розмірами за рахунок коштів відповідних бюджетів не допускається і може бути оскаржено в судовому порядку.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повноважень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відповідною місце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вою радою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зазначене, відшкодування органами місцевого самоврядування різниці в тарифах мож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ОТГ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умови прийняття відповідної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рограми.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100601 «Відш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кодування різниці між розміром ціни (тарифу) на житлово-комунальні послуги, що затверджувалися або погоджувалися рішенн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місцевого самоврядування, та розміром економічно обґрунтованих витрат на їх виробництво (надання)». 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Дана Програма розроблена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 аналізу впливу регуляторного акту, затвердженої постановою Кабінету Мініст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житлово-комунальні послуги”, Законів України „Про відходи”, „Про житлово-комунальні послуги”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</w:t>
      </w:r>
      <w:r/>
    </w:p>
    <w:p>
      <w:pPr>
        <w:jc w:val="center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1.3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Мета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рограми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Прийняття даної Програми має за мету:</w:t>
      </w:r>
      <w:r/>
    </w:p>
    <w:p>
      <w:pPr>
        <w:pStyle w:val="181"/>
        <w:numPr>
          <w:ilvl w:val="0"/>
          <w:numId w:val="8"/>
        </w:numPr>
        <w:ind w:left="0" w:right="0" w:hanging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прогноз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коштів 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відшкодування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різниці в 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  <w:t xml:space="preserve">;</w:t>
      </w:r>
      <w:r/>
    </w:p>
    <w:p>
      <w:pPr>
        <w:pStyle w:val="181"/>
        <w:numPr>
          <w:ilvl w:val="0"/>
          <w:numId w:val="8"/>
        </w:numPr>
        <w:ind w:left="0" w:right="0" w:hanging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забезпечення без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збиткової 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послуги»;</w:t>
      </w:r>
      <w:r/>
    </w:p>
    <w:p>
      <w:pPr>
        <w:pStyle w:val="181"/>
        <w:numPr>
          <w:ilvl w:val="0"/>
          <w:numId w:val="8"/>
        </w:numPr>
        <w:ind w:left="0" w:right="0" w:hanging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збереження кількості і якості надання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послуг з 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нормативному рівні;</w:t>
      </w:r>
      <w:r/>
    </w:p>
    <w:p>
      <w:pPr>
        <w:pStyle w:val="181"/>
        <w:numPr>
          <w:ilvl w:val="0"/>
          <w:numId w:val="8"/>
        </w:numPr>
        <w:ind w:left="0" w:right="0" w:hanging="0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своєчасне розрахування за надані послуги.</w:t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1.4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Шляхи 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засоби розв’язання проблеми, обсяги та джерела фінансування</w:t>
      </w:r>
      <w:r/>
    </w:p>
    <w:p>
      <w:pPr>
        <w:ind w:right="310" w:firstLine="540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Серед альтернативних способів досягнення цілей даної Програми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є:</w:t>
      </w:r>
      <w:r/>
    </w:p>
    <w:p>
      <w:pPr>
        <w:ind w:firstLine="540"/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0"/>
          <w:sz w:val="28"/>
          <w:szCs w:val="28"/>
          <w:lang w:val="uk-UA" w:eastAsia="ru-RU"/>
        </w:rPr>
        <w:t xml:space="preserve">1)</w:t>
      </w:r>
      <w:r>
        <w:rPr>
          <w:rFonts w:ascii="Times New Roman" w:hAnsi="Times New Roman" w:cs="Times New Roman" w:eastAsia="Times New Roman"/>
          <w:i/>
          <w:iCs/>
          <w:color w:val="000000"/>
          <w:spacing w:val="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0"/>
          <w:sz w:val="28"/>
          <w:szCs w:val="28"/>
          <w:lang w:val="uk-UA" w:eastAsia="ru-RU"/>
        </w:rPr>
        <w:t xml:space="preserve">Збереження існуючого стану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 та без відшкодуван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ня різниці в тарифах з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  <w:r/>
    </w:p>
    <w:p>
      <w:pPr>
        <w:ind w:firstLine="540"/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2) Своєчасне встановлення більш високих економічно обґрунтованих тарифів.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неприйнятною з двох причин: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своєчасність процедури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перегляду тарифів неможлива через саму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процедуру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їх встановлення;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часте підвищення тарифів для населення не бажане з соціально-політичних мотивів.</w:t>
      </w:r>
      <w:r/>
    </w:p>
    <w:p>
      <w:pPr>
        <w:ind w:firstLine="54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3)Виділення коштів з державного бюджету для відшкодування різниці в тарифах.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Для підприємств, що надають послуги з цен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тралізованого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  передбачається  постановою Кабінету Міністрів України від 11 червня 2012 р.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517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Порядку та умов надання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не вирішує проблему повністю і не за всіма житлово-комунальними послугами.</w:t>
      </w:r>
      <w:r/>
    </w:p>
    <w:p>
      <w:pPr>
        <w:ind w:firstLine="540"/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val="uk-UA"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Виділення з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ОТГ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прийнятною, тому що  запропоноване рішення є найбільш збалансованим.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З метою врахування інтересів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як споживачів послуг, так і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водовідведення по Менській міській ОТГ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вирішення проблеми, зазначеної в пункті 1 цього Аналізу, пропонується здійснити шляхом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ради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>
        <w:rPr>
          <w:rFonts w:ascii="Times New Roman" w:hAnsi="Times New Roman"/>
          <w:sz w:val="28"/>
          <w:szCs w:val="28"/>
          <w:lang w:val="uk-UA"/>
        </w:rPr>
        <w:t xml:space="preserve">на 2020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встановлених міською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радою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</w:t>
      </w:r>
      <w:r>
        <w:rPr>
          <w:rFonts w:ascii="Times New Roman" w:hAnsi="Times New Roman" w:cs="Times New Roman" w:eastAsia="Times New Roman"/>
          <w:spacing w:val="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розробленим на підставі: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-   законів України;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-   гласності (відкритості та загальнодоступності);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-   колегіальності;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-   урахування проб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лем життєдіяльності комунальних підприємств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-   економічної та юридичної обґрунтованості тощо.</w:t>
      </w:r>
      <w:r/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</w:r>
      <w:r/>
    </w:p>
    <w:tbl>
      <w:tblPr>
        <w:tblStyle w:val="180"/>
        <w:tblW w:w="9471" w:type="dxa"/>
        <w:tblLayout w:type="fixed"/>
        <w:tblLook w:val="04A0" w:firstRow="1" w:lastRow="0" w:firstColumn="1" w:lastColumn="0" w:noHBand="0" w:noVBand="1"/>
      </w:tblPr>
      <w:tblGrid>
        <w:gridCol w:w="490"/>
        <w:gridCol w:w="2698"/>
        <w:gridCol w:w="1148"/>
        <w:gridCol w:w="992"/>
        <w:gridCol w:w="1021"/>
        <w:gridCol w:w="3122"/>
      </w:tblGrid>
      <w:tr>
        <w:trPr/>
        <w:tc>
          <w:tcPr>
            <w:tcW w:w="490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№ з/п</w:t>
            </w:r>
            <w:r>
              <w:rPr>
                <w:sz w:val="18"/>
              </w:rPr>
            </w:r>
          </w:p>
        </w:tc>
        <w:tc>
          <w:tcPr>
            <w:tcW w:w="269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Заходи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рограми</w:t>
            </w:r>
            <w:r>
              <w:rPr>
                <w:sz w:val="18"/>
              </w:rPr>
            </w:r>
          </w:p>
        </w:tc>
        <w:tc>
          <w:tcPr>
            <w:tcW w:w="114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Джерела фінансування</w:t>
            </w:r>
            <w:r>
              <w:rPr>
                <w:sz w:val="18"/>
              </w:rPr>
            </w:r>
          </w:p>
        </w:tc>
        <w:tc>
          <w:tcPr>
            <w:gridSpan w:val="3"/>
            <w:tcW w:w="513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Очікуваний результат</w:t>
            </w:r>
            <w:r>
              <w:rPr>
                <w:sz w:val="18"/>
              </w:rPr>
            </w:r>
          </w:p>
        </w:tc>
      </w:tr>
      <w:tr>
        <w:trPr/>
        <w:tc>
          <w:tcPr>
            <w:tcW w:w="49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69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14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2020 р.</w:t>
            </w:r>
            <w:r>
              <w:rPr>
                <w:sz w:val="18"/>
              </w:rPr>
            </w:r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  <w:t xml:space="preserve">всього</w:t>
            </w:r>
            <w:r>
              <w:rPr>
                <w:sz w:val="18"/>
              </w:rPr>
            </w:r>
          </w:p>
        </w:tc>
        <w:tc>
          <w:tcPr>
            <w:tcW w:w="312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0"/>
                <w:szCs w:val="24"/>
                <w:lang w:val="uk-UA" w:eastAsia="ru-RU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49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1</w:t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Відшко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дування різниці в тарифах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аселення, встановленим виконавчим комітетом Менської міської ради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юджет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sz w:val="26"/>
                <w:szCs w:val="26"/>
                <w:lang w:val="uk-UA" w:eastAsia="ru-RU"/>
              </w:rPr>
              <w:t xml:space="preserve"> Менської міської ОТГ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pacing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pacing w:val="0"/>
                <w:sz w:val="26"/>
                <w:szCs w:val="26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pacing w:val="0"/>
                <w:sz w:val="26"/>
                <w:szCs w:val="26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pacing w:val="0"/>
                <w:sz w:val="26"/>
                <w:szCs w:val="26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pacing w:val="0"/>
                <w:sz w:val="26"/>
                <w:szCs w:val="26"/>
                <w:lang w:val="uk-UA" w:eastAsia="ru-RU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pacing w:val="0"/>
                <w:sz w:val="26"/>
                <w:szCs w:val="26"/>
                <w:lang w:val="uk-UA" w:eastAsia="ru-RU"/>
              </w:rPr>
              <w:t xml:space="preserve"> тис. грн.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0,0 </w:t>
            </w:r>
            <w:r/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ис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. грн.</w:t>
            </w:r>
            <w:r/>
          </w:p>
        </w:tc>
        <w:tc>
          <w:tcPr>
            <w:tcW w:w="3122" w:type="dxa"/>
            <w:textDirection w:val="lrTb"/>
            <w:noWrap w:val="false"/>
          </w:tcPr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забезпечення безз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биткової діяльності підприємств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довідведення</w:t>
            </w:r>
            <w:r/>
          </w:p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дотримання вимог діючого законодавства</w:t>
            </w:r>
            <w:r/>
          </w:p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отримання стабільних та якісних житлово – комунальних послуг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  <w:t xml:space="preserve">1.5</w:t>
      </w:r>
      <w:r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  <w:t xml:space="preserve"> Програми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Програми здійснюється порядком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: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Фактичне відшкодування різниці в тарифах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водові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дведення на території населених пунктів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проводиться на підставі висновків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щодо відповідності розрахунків різниці в тарифах на житлово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комунальні послуги,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яка виникла у зв’язку із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встановленням тарифів на житлово-комунальні послуги в розмірі нижче економічно обґрунтованих витрат на їх виробництво, за фактично спожиті обсяги посл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уг з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- виробник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житлово-комунальних послуг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щомісячно здійснюють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підготовку розрахунків на відшкодування витрат в різниці між затвердженим розміром тарифу та розміром економічно – обґрунтованих витрат на їх виробництво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за фактичними обсягами споживання та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подають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їх на розгляд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. Менська міська рада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перераховує кошти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Менської міської ОТГ одержувачам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бюджетних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коштів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підприємствам – надавачам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послуг з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водовідведення на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території населених пунктів Менської міської ОТГ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, в м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ежах затверджених в місцевому 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бюджеті призначень на цю мету.</w:t>
      </w:r>
      <w:r/>
    </w:p>
    <w:p>
      <w:pPr>
        <w:pStyle w:val="181"/>
        <w:ind w:left="0"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Фінансування заходів Програми здій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снюється з урахуванням фінансових можливостей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.</w:t>
      </w:r>
      <w:r/>
    </w:p>
    <w:p>
      <w:pPr>
        <w:ind w:left="708" w:right="10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sz w:val="28"/>
          <w:szCs w:val="28"/>
          <w:lang w:val="uk-UA" w:eastAsia="ru-RU"/>
        </w:rPr>
        <w:t xml:space="preserve">1.6.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Система управління та контролю за ходом виконання Програми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  <w:r/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Підприємство- надавач послуг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водовідведення на території м. 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один раз на квартал, до 15 числа місяця наступного за звітним періодом, надає до міської ради звіт про хід виконання Програми відповідно до фактичних обсягів фінансування (наростаючим підсумком).</w:t>
      </w:r>
      <w:r/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Головний розпорядник коштів бюджету щоквартально проводить аналіз результатів фінансово-господарської діяльності отримувача фінансової підтримки, стану та ефективності використання бюджетних коштів на надання фінансової підтримки та не пізніше 20 числа міся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ця, наступного за звітним кварталом, надає Фінансовому управлінню Менської міської ради пропозиції щодо коригування суми фінансової підтримки.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10" w:hanging="389"/>
        <w:tabs>
          <w:tab w:val="left" w:pos="171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59"/>
      </w:pPr>
    </w:lvl>
    <w:lvl w:ilvl="1">
      <w:start w:val="1"/>
      <w:numFmt w:val="lowerLetter"/>
      <w:suff w:val="tab"/>
      <w:lvlText w:val="%2."/>
      <w:lvlJc w:val="left"/>
      <w:pPr>
        <w:ind w:left="2149" w:hanging="359"/>
      </w:pPr>
    </w:lvl>
    <w:lvl w:ilvl="2">
      <w:start w:val="1"/>
      <w:numFmt w:val="lowerRoman"/>
      <w:suff w:val="tab"/>
      <w:lvlText w:val="%3."/>
      <w:lvlJc w:val="right"/>
      <w:pPr>
        <w:ind w:left="2869" w:hanging="179"/>
      </w:pPr>
    </w:lvl>
    <w:lvl w:ilvl="3">
      <w:start w:val="1"/>
      <w:numFmt w:val="decimal"/>
      <w:suff w:val="tab"/>
      <w:lvlText w:val="%4."/>
      <w:lvlJc w:val="left"/>
      <w:pPr>
        <w:ind w:left="3589" w:hanging="359"/>
      </w:pPr>
    </w:lvl>
    <w:lvl w:ilvl="4">
      <w:start w:val="1"/>
      <w:numFmt w:val="lowerLetter"/>
      <w:suff w:val="tab"/>
      <w:lvlText w:val="%5."/>
      <w:lvlJc w:val="left"/>
      <w:pPr>
        <w:ind w:left="4309" w:hanging="359"/>
      </w:pPr>
    </w:lvl>
    <w:lvl w:ilvl="5">
      <w:start w:val="1"/>
      <w:numFmt w:val="lowerRoman"/>
      <w:suff w:val="tab"/>
      <w:lvlText w:val="%6."/>
      <w:lvlJc w:val="right"/>
      <w:pPr>
        <w:ind w:left="5029" w:hanging="179"/>
      </w:pPr>
    </w:lvl>
    <w:lvl w:ilvl="6">
      <w:start w:val="1"/>
      <w:numFmt w:val="decimal"/>
      <w:suff w:val="tab"/>
      <w:lvlText w:val="%7."/>
      <w:lvlJc w:val="left"/>
      <w:pPr>
        <w:ind w:left="5749" w:hanging="359"/>
      </w:pPr>
    </w:lvl>
    <w:lvl w:ilvl="7">
      <w:start w:val="1"/>
      <w:numFmt w:val="lowerLetter"/>
      <w:suff w:val="tab"/>
      <w:lvlText w:val="%8."/>
      <w:lvlJc w:val="left"/>
      <w:pPr>
        <w:ind w:left="6469" w:hanging="359"/>
      </w:pPr>
    </w:lvl>
    <w:lvl w:ilvl="8">
      <w:start w:val="1"/>
      <w:numFmt w:val="lowerRoman"/>
      <w:suff w:val="tab"/>
      <w:lvlText w:val="%9."/>
      <w:lvlJc w:val="right"/>
      <w:pPr>
        <w:ind w:left="7189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11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30" w:hanging="359"/>
      </w:pPr>
    </w:lvl>
    <w:lvl w:ilvl="2">
      <w:start w:val="1"/>
      <w:numFmt w:val="lowerRoman"/>
      <w:suff w:val="tab"/>
      <w:lvlText w:val="%3."/>
      <w:lvlJc w:val="right"/>
      <w:pPr>
        <w:ind w:left="2550" w:hanging="179"/>
      </w:pPr>
    </w:lvl>
    <w:lvl w:ilvl="3">
      <w:start w:val="1"/>
      <w:numFmt w:val="decimal"/>
      <w:suff w:val="tab"/>
      <w:lvlText w:val="%4."/>
      <w:lvlJc w:val="left"/>
      <w:pPr>
        <w:ind w:left="3270" w:hanging="359"/>
      </w:pPr>
    </w:lvl>
    <w:lvl w:ilvl="4">
      <w:start w:val="1"/>
      <w:numFmt w:val="lowerLetter"/>
      <w:suff w:val="tab"/>
      <w:lvlText w:val="%5."/>
      <w:lvlJc w:val="left"/>
      <w:pPr>
        <w:ind w:left="3990" w:hanging="359"/>
      </w:pPr>
    </w:lvl>
    <w:lvl w:ilvl="5">
      <w:start w:val="1"/>
      <w:numFmt w:val="lowerRoman"/>
      <w:suff w:val="tab"/>
      <w:lvlText w:val="%6."/>
      <w:lvlJc w:val="right"/>
      <w:pPr>
        <w:ind w:left="4710" w:hanging="179"/>
      </w:pPr>
    </w:lvl>
    <w:lvl w:ilvl="6">
      <w:start w:val="1"/>
      <w:numFmt w:val="decimal"/>
      <w:suff w:val="tab"/>
      <w:lvlText w:val="%7."/>
      <w:lvlJc w:val="left"/>
      <w:pPr>
        <w:ind w:left="5430" w:hanging="359"/>
      </w:pPr>
    </w:lvl>
    <w:lvl w:ilvl="7">
      <w:start w:val="1"/>
      <w:numFmt w:val="lowerLetter"/>
      <w:suff w:val="tab"/>
      <w:lvlText w:val="%8."/>
      <w:lvlJc w:val="left"/>
      <w:pPr>
        <w:ind w:left="6150" w:hanging="359"/>
      </w:pPr>
    </w:lvl>
    <w:lvl w:ilvl="8">
      <w:start w:val="1"/>
      <w:numFmt w:val="lowerRoman"/>
      <w:suff w:val="tab"/>
      <w:lvlText w:val="%9."/>
      <w:lvlJc w:val="right"/>
      <w:pPr>
        <w:ind w:left="6870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50" w:hanging="38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bullet"/>
      <w:suff w:val="tab"/>
      <w:lvlText w:val="–"/>
      <w:lvlJc w:val="left"/>
      <w:pPr>
        <w:ind w:left="1560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28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300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72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44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16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88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60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320" w:hanging="359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3"/>
    <w:next w:val="17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3"/>
    <w:next w:val="17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3"/>
    <w:next w:val="17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3"/>
    <w:next w:val="17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3"/>
    <w:next w:val="17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3"/>
    <w:next w:val="1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75"/>
    <w:link w:val="1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3"/>
    <w:next w:val="1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3"/>
    <w:next w:val="1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3"/>
    <w:next w:val="17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5"/>
    <w:link w:val="32"/>
    <w:uiPriority w:val="10"/>
    <w:rPr>
      <w:sz w:val="48"/>
      <w:szCs w:val="48"/>
    </w:rPr>
  </w:style>
  <w:style w:type="paragraph" w:styleId="34">
    <w:name w:val="Subtitle"/>
    <w:basedOn w:val="173"/>
    <w:next w:val="17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5"/>
    <w:link w:val="34"/>
    <w:uiPriority w:val="11"/>
    <w:rPr>
      <w:sz w:val="24"/>
      <w:szCs w:val="24"/>
    </w:rPr>
  </w:style>
  <w:style w:type="paragraph" w:styleId="36">
    <w:name w:val="Quote"/>
    <w:basedOn w:val="173"/>
    <w:next w:val="1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3"/>
    <w:next w:val="17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5"/>
    <w:link w:val="40"/>
    <w:uiPriority w:val="99"/>
  </w:style>
  <w:style w:type="paragraph" w:styleId="42">
    <w:name w:val="Footer"/>
    <w:basedOn w:val="17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5"/>
    <w:link w:val="42"/>
    <w:uiPriority w:val="99"/>
  </w:style>
  <w:style w:type="table" w:styleId="45">
    <w:name w:val="Lined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5"/>
    <w:uiPriority w:val="99"/>
    <w:unhideWhenUsed/>
    <w:rPr>
      <w:vertAlign w:val="superscript"/>
    </w:rPr>
  </w:style>
  <w:style w:type="paragraph" w:styleId="70">
    <w:name w:val="toc 1"/>
    <w:basedOn w:val="173"/>
    <w:next w:val="173"/>
    <w:uiPriority w:val="39"/>
    <w:unhideWhenUsed/>
    <w:pPr>
      <w:ind w:left="0" w:right="0" w:hanging="0"/>
      <w:spacing w:after="57"/>
    </w:pPr>
  </w:style>
  <w:style w:type="paragraph" w:styleId="71">
    <w:name w:val="toc 2"/>
    <w:basedOn w:val="173"/>
    <w:next w:val="173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3"/>
    <w:next w:val="173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3"/>
    <w:next w:val="173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3"/>
    <w:next w:val="173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3"/>
    <w:next w:val="173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3"/>
    <w:next w:val="173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3"/>
    <w:next w:val="173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3"/>
    <w:next w:val="173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3" w:default="1">
    <w:name w:val="Normal"/>
    <w:qFormat/>
  </w:style>
  <w:style w:type="paragraph" w:styleId="174">
    <w:name w:val="Heading 7"/>
    <w:basedOn w:val="173"/>
    <w:next w:val="173"/>
    <w:link w:val="182"/>
    <w:qFormat/>
    <w:semiHidden/>
    <w:unhideWhenUsed/>
    <w:rPr>
      <w:rFonts w:ascii="Calibri" w:hAnsi="Calibri" w:cs="Times New Roman" w:eastAsia="Times New Roman"/>
      <w:sz w:val="24"/>
      <w:szCs w:val="24"/>
    </w:rPr>
    <w:pPr>
      <w:spacing w:lineRule="auto" w:line="259" w:after="60" w:before="240"/>
      <w:outlineLvl w:val="6"/>
    </w:pPr>
  </w:style>
  <w:style w:type="character" w:styleId="175" w:default="1">
    <w:name w:val="Default Paragraph Font"/>
    <w:uiPriority w:val="1"/>
    <w:semiHidden/>
    <w:unhideWhenUsed/>
  </w:style>
  <w:style w:type="table" w:styleId="1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7" w:default="1">
    <w:name w:val="No List"/>
    <w:uiPriority w:val="99"/>
    <w:semiHidden/>
    <w:unhideWhenUsed/>
  </w:style>
  <w:style w:type="paragraph" w:styleId="178">
    <w:name w:val="Balloon Text"/>
    <w:basedOn w:val="173"/>
    <w:link w:val="1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9" w:customStyle="1">
    <w:name w:val="Текст выноски Знак"/>
    <w:basedOn w:val="175"/>
    <w:link w:val="178"/>
    <w:uiPriority w:val="99"/>
    <w:semiHidden/>
    <w:rPr>
      <w:rFonts w:ascii="Tahoma" w:hAnsi="Tahoma" w:cs="Tahoma"/>
      <w:sz w:val="16"/>
      <w:szCs w:val="16"/>
    </w:rPr>
  </w:style>
  <w:style w:type="table" w:styleId="180">
    <w:name w:val="Table Grid"/>
    <w:basedOn w:val="1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81">
    <w:name w:val="List Paragraph"/>
    <w:basedOn w:val="173"/>
    <w:qFormat/>
    <w:uiPriority w:val="34"/>
    <w:pPr>
      <w:contextualSpacing w:val="true"/>
      <w:ind w:left="720"/>
    </w:pPr>
  </w:style>
  <w:style w:type="character" w:styleId="182" w:customStyle="1">
    <w:name w:val="Заголовок 7 Знак"/>
    <w:basedOn w:val="175"/>
    <w:link w:val="174"/>
    <w:semiHidden/>
    <w:rPr>
      <w:rFonts w:ascii="Calibri" w:hAnsi="Calibri" w:cs="Times New Roman" w:eastAsia="Times New Roman"/>
      <w:sz w:val="24"/>
      <w:szCs w:val="24"/>
    </w:rPr>
  </w:style>
  <w:style w:type="character" w:styleId="183">
    <w:name w:val="Strong"/>
    <w:qFormat/>
    <w:uiPriority w:val="99"/>
    <w:rPr>
      <w:rFonts w:cs="Times New Roman"/>
      <w:b/>
    </w:rPr>
  </w:style>
  <w:style w:type="paragraph" w:styleId="184">
    <w:name w:val="Body Text"/>
    <w:basedOn w:val="173"/>
    <w:link w:val="185"/>
    <w:rPr>
      <w:rFonts w:ascii="Times New Roman" w:hAnsi="Times New Roman" w:cs="Times New Roman" w:eastAsia="Times New Roman"/>
      <w:sz w:val="28"/>
      <w:szCs w:val="24"/>
      <w:lang w:eastAsia="ar-SA"/>
    </w:rPr>
    <w:pPr>
      <w:ind w:firstLine="709"/>
      <w:jc w:val="both"/>
      <w:spacing w:lineRule="auto" w:line="240" w:after="120"/>
    </w:pPr>
  </w:style>
  <w:style w:type="character" w:styleId="185" w:customStyle="1">
    <w:name w:val="Основной текст Знак"/>
    <w:basedOn w:val="175"/>
    <w:link w:val="184"/>
    <w:rPr>
      <w:rFonts w:ascii="Times New Roman" w:hAnsi="Times New Roman" w:cs="Times New Roman" w:eastAsia="Times New Roman"/>
      <w:sz w:val="28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